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F378" w14:textId="20993D1E" w:rsidR="00DB5F4C" w:rsidRDefault="00EF3A31" w:rsidP="00DB5F4C">
      <w:pPr>
        <w:spacing w:after="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Architectural Ambitions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246"/>
        <w:gridCol w:w="2835"/>
        <w:gridCol w:w="2693"/>
      </w:tblGrid>
      <w:tr w:rsidR="00DB5F4C" w:rsidRPr="000D2799" w14:paraId="0D6B9553" w14:textId="77777777" w:rsidTr="00804485">
        <w:trPr>
          <w:trHeight w:val="1089"/>
        </w:trPr>
        <w:tc>
          <w:tcPr>
            <w:tcW w:w="5246" w:type="dxa"/>
          </w:tcPr>
          <w:p w14:paraId="6AF60EA5" w14:textId="77777777" w:rsidR="00DB5F4C" w:rsidRPr="000D2799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Main Subject Focus</w:t>
            </w:r>
          </w:p>
          <w:p w14:paraId="7C9CB7CA" w14:textId="77777777" w:rsidR="00DB5F4C" w:rsidRPr="000D2799" w:rsidRDefault="00DB5F4C" w:rsidP="007047F0">
            <w:pPr>
              <w:rPr>
                <w:sz w:val="16"/>
                <w:szCs w:val="16"/>
              </w:rPr>
            </w:pPr>
            <w:r w:rsidRPr="22B647D0">
              <w:rPr>
                <w:sz w:val="16"/>
                <w:szCs w:val="16"/>
              </w:rPr>
              <w:t>Design Technology</w:t>
            </w:r>
          </w:p>
          <w:p w14:paraId="2343B74C" w14:textId="77777777" w:rsidR="00DB5F4C" w:rsidRPr="000D2799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Key Vertical Concepts: </w:t>
            </w:r>
          </w:p>
          <w:p w14:paraId="77DB9C46" w14:textId="77777777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Investigate and evaluate existing products</w:t>
            </w:r>
          </w:p>
          <w:p w14:paraId="3F071613" w14:textId="77777777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Use focused tasks to develop particular aspects of knowledge and </w:t>
            </w:r>
            <w:proofErr w:type="gramStart"/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skills</w:t>
            </w:r>
            <w:proofErr w:type="gramEnd"/>
          </w:p>
          <w:p w14:paraId="0DE6BF6E" w14:textId="41E3707F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Undertake design and make activities - make 'something' for 'somebody' for 'some purpose'</w:t>
            </w:r>
          </w:p>
          <w:p w14:paraId="684AA158" w14:textId="77777777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Evaluate effectiveness of finished product in terms of meeting purpose</w:t>
            </w:r>
          </w:p>
          <w:p w14:paraId="121CAAA0" w14:textId="77777777" w:rsidR="00DB5F4C" w:rsidRPr="000D2799" w:rsidRDefault="00DB5F4C" w:rsidP="007047F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Understand how design technology has impacted on our lives now, in the past and into the future</w:t>
            </w:r>
          </w:p>
          <w:p w14:paraId="70CA870D" w14:textId="77777777" w:rsidR="00DB5F4C" w:rsidRPr="000D2799" w:rsidRDefault="00DB5F4C" w:rsidP="007047F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4ABF024" w14:textId="77F8A0EF" w:rsidR="00DB5F4C" w:rsidRPr="000D2799" w:rsidRDefault="00DB5F4C" w:rsidP="00DB5F4C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Intent: Why?   </w:t>
            </w:r>
          </w:p>
          <w:p w14:paraId="3FAD9005" w14:textId="62D15F61" w:rsidR="00DB5F4C" w:rsidRDefault="00DB5F4C" w:rsidP="007047F0">
            <w:pPr>
              <w:rPr>
                <w:sz w:val="16"/>
                <w:szCs w:val="16"/>
              </w:rPr>
            </w:pPr>
            <w:r w:rsidRPr="00DB37EE">
              <w:rPr>
                <w:sz w:val="16"/>
                <w:szCs w:val="16"/>
              </w:rPr>
              <w:t xml:space="preserve">Pupils will learn </w:t>
            </w:r>
            <w:r w:rsidR="00B46BC5">
              <w:rPr>
                <w:sz w:val="16"/>
                <w:szCs w:val="16"/>
              </w:rPr>
              <w:t>a</w:t>
            </w:r>
            <w:r w:rsidR="00660749">
              <w:rPr>
                <w:sz w:val="16"/>
                <w:szCs w:val="16"/>
              </w:rPr>
              <w:t>b</w:t>
            </w:r>
            <w:r w:rsidR="00B46BC5">
              <w:rPr>
                <w:sz w:val="16"/>
                <w:szCs w:val="16"/>
              </w:rPr>
              <w:t>out different types of structures and the materials used to build them</w:t>
            </w:r>
            <w:r w:rsidR="00E160ED">
              <w:rPr>
                <w:sz w:val="16"/>
                <w:szCs w:val="16"/>
              </w:rPr>
              <w:t xml:space="preserve">. They will look at how materials can be joined </w:t>
            </w:r>
            <w:r w:rsidR="00D95688">
              <w:rPr>
                <w:sz w:val="16"/>
                <w:szCs w:val="16"/>
              </w:rPr>
              <w:t xml:space="preserve">and how to make them stronger, </w:t>
            </w:r>
            <w:proofErr w:type="gramStart"/>
            <w:r w:rsidR="00D95688">
              <w:rPr>
                <w:sz w:val="16"/>
                <w:szCs w:val="16"/>
              </w:rPr>
              <w:t>stiffer</w:t>
            </w:r>
            <w:proofErr w:type="gramEnd"/>
            <w:r w:rsidR="00D95688">
              <w:rPr>
                <w:sz w:val="16"/>
                <w:szCs w:val="16"/>
              </w:rPr>
              <w:t xml:space="preserve"> and more stable.</w:t>
            </w:r>
          </w:p>
          <w:p w14:paraId="732856A3" w14:textId="4D40CD28" w:rsidR="00967301" w:rsidRPr="00DB37EE" w:rsidRDefault="00967301" w:rsidP="00704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will develop design and finishing skills</w:t>
            </w:r>
            <w:r w:rsidR="001141DF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6D90A8F1" w14:textId="77777777" w:rsidR="00DB5F4C" w:rsidRDefault="00DB5F4C" w:rsidP="007047F0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Links to prior and wider learning</w:t>
            </w:r>
          </w:p>
          <w:p w14:paraId="067E3D5C" w14:textId="0C317938" w:rsidR="001C56C6" w:rsidRPr="00C86D23" w:rsidRDefault="00C86D23" w:rsidP="00C86D23">
            <w:pPr>
              <w:rPr>
                <w:sz w:val="16"/>
                <w:szCs w:val="16"/>
              </w:rPr>
            </w:pPr>
            <w:r w:rsidRPr="00C86D23">
              <w:rPr>
                <w:sz w:val="16"/>
                <w:szCs w:val="16"/>
              </w:rPr>
              <w:t xml:space="preserve">This unit links to </w:t>
            </w:r>
            <w:r w:rsidR="007E7D55">
              <w:rPr>
                <w:sz w:val="16"/>
                <w:szCs w:val="16"/>
              </w:rPr>
              <w:t xml:space="preserve">History units </w:t>
            </w:r>
            <w:r w:rsidR="000D43A2">
              <w:rPr>
                <w:sz w:val="16"/>
                <w:szCs w:val="16"/>
              </w:rPr>
              <w:t xml:space="preserve">regarding continuity and change, developing understanding of </w:t>
            </w:r>
            <w:r w:rsidR="006C660F">
              <w:rPr>
                <w:sz w:val="16"/>
                <w:szCs w:val="16"/>
              </w:rPr>
              <w:t>structures and buildings over time.</w:t>
            </w:r>
          </w:p>
          <w:p w14:paraId="3CD689A7" w14:textId="50929DFB" w:rsidR="00DB5F4C" w:rsidRPr="00C86D23" w:rsidRDefault="00C86D23" w:rsidP="00C86D23">
            <w:pPr>
              <w:rPr>
                <w:sz w:val="16"/>
                <w:szCs w:val="16"/>
              </w:rPr>
            </w:pPr>
            <w:r w:rsidRPr="00C86D23">
              <w:rPr>
                <w:sz w:val="16"/>
                <w:szCs w:val="16"/>
              </w:rPr>
              <w:t xml:space="preserve">This builds upon design technology skills developed in earlier year groups and understanding of materials and their uses in </w:t>
            </w:r>
            <w:proofErr w:type="gramStart"/>
            <w:r w:rsidRPr="00C86D23">
              <w:rPr>
                <w:sz w:val="16"/>
                <w:szCs w:val="16"/>
              </w:rPr>
              <w:t>Science</w:t>
            </w:r>
            <w:proofErr w:type="gramEnd"/>
            <w:r w:rsidRPr="00C86D2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B5F4C" w:rsidRPr="000D2799" w14:paraId="578FC341" w14:textId="77777777" w:rsidTr="00804485">
        <w:trPr>
          <w:trHeight w:val="365"/>
        </w:trPr>
        <w:tc>
          <w:tcPr>
            <w:tcW w:w="5246" w:type="dxa"/>
          </w:tcPr>
          <w:p w14:paraId="734C59D4" w14:textId="13A9B86C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ey Stage 1 Pupils will be taught:</w:t>
            </w:r>
          </w:p>
          <w:p w14:paraId="531F218F" w14:textId="77777777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F282A">
              <w:rPr>
                <w:rFonts w:cstheme="minorHAnsi"/>
                <w:sz w:val="16"/>
                <w:szCs w:val="16"/>
              </w:rPr>
              <w:t xml:space="preserve">Through a variety of creative and practical activities, pupils should be taught the knowledge, understanding and skills needed to engage in an iterative process of designing and making. They should work in a range of relevant contexts [for example, the home and school, gardens and playgrounds, the local community, industry and the wider environment]. </w:t>
            </w:r>
          </w:p>
          <w:p w14:paraId="6C575B6A" w14:textId="77777777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F282A">
              <w:rPr>
                <w:rFonts w:cstheme="minorHAnsi"/>
                <w:sz w:val="16"/>
                <w:szCs w:val="16"/>
              </w:rPr>
              <w:t xml:space="preserve">When designing and making, pupils should be taught to: </w:t>
            </w:r>
          </w:p>
          <w:p w14:paraId="6E5AE3FF" w14:textId="77777777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Design </w:t>
            </w:r>
          </w:p>
          <w:p w14:paraId="2FE99C75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design purposeful, functional, appealing products for themselves and other users based on design criteria</w:t>
            </w:r>
          </w:p>
          <w:p w14:paraId="302400DB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7041AEEB" w14:textId="77777777" w:rsidR="00DB5F4C" w:rsidRPr="007F282A" w:rsidRDefault="00DB5F4C" w:rsidP="007047F0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Make </w:t>
            </w:r>
          </w:p>
          <w:p w14:paraId="22E053A6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select from and use a range of tools and equipment to perform practical tasks [for example, cutting, shaping, joining and finishing]</w:t>
            </w:r>
          </w:p>
          <w:p w14:paraId="12F5DEE6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D74DDFD" w14:textId="77777777" w:rsidR="00DB5F4C" w:rsidRPr="00E403A1" w:rsidRDefault="00DB5F4C" w:rsidP="007047F0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E403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Evaluate</w:t>
            </w:r>
          </w:p>
          <w:p w14:paraId="07753B35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explore and evaluate a range of existing products </w:t>
            </w:r>
          </w:p>
          <w:p w14:paraId="376D2351" w14:textId="77777777" w:rsidR="00DB5F4C" w:rsidRPr="007F282A" w:rsidRDefault="00DB5F4C" w:rsidP="00DB5F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282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evaluate their ideas and products against design criteria</w:t>
            </w:r>
          </w:p>
          <w:p w14:paraId="70F0A3B4" w14:textId="77777777" w:rsidR="00DB5F4C" w:rsidRDefault="00DB5F4C" w:rsidP="007047F0"/>
        </w:tc>
        <w:tc>
          <w:tcPr>
            <w:tcW w:w="5528" w:type="dxa"/>
            <w:gridSpan w:val="2"/>
          </w:tcPr>
          <w:p w14:paraId="5AC522F4" w14:textId="77777777" w:rsidR="00DB5F4C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Key Stage 2 pupils will be taught:</w:t>
            </w:r>
          </w:p>
          <w:p w14:paraId="57DAE080" w14:textId="77777777" w:rsidR="00DB5F4C" w:rsidRDefault="00DB5F4C" w:rsidP="007047F0">
            <w:p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Through a variety of creative and practical activities, pupils should be taught the knowledge, understanding and skills needed to engage in an iterative process of designing and making. They should work in a range of relevant contexts [for example, the home, school, leisure, culture, enterprise, industry and the wider environment]. </w:t>
            </w:r>
          </w:p>
          <w:p w14:paraId="02E383FE" w14:textId="77777777" w:rsidR="00DB5F4C" w:rsidRDefault="00DB5F4C" w:rsidP="007047F0">
            <w:p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When designing and making, pupils should be taught to: </w:t>
            </w:r>
          </w:p>
          <w:p w14:paraId="6D4B538E" w14:textId="77777777" w:rsidR="00DB5F4C" w:rsidRDefault="00DB5F4C" w:rsidP="007047F0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  <w:t xml:space="preserve">Design </w:t>
            </w:r>
          </w:p>
          <w:p w14:paraId="7DD155D6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use research and develop design criteria to inform the design of innovative, functional, appealing products that are fit for purpose, aimed at particular individuals or groups </w:t>
            </w:r>
          </w:p>
          <w:p w14:paraId="62D6EF32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generate, develop, model and communicate their ideas through discussion, annotated sketches, cross-sectional and exploded diagrams, prototypes, pattern pieces and computer-aided design </w:t>
            </w:r>
          </w:p>
          <w:p w14:paraId="6AA34620" w14:textId="77777777" w:rsidR="00DB5F4C" w:rsidRDefault="00DB5F4C" w:rsidP="007047F0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  <w:t xml:space="preserve">Make </w:t>
            </w:r>
          </w:p>
          <w:p w14:paraId="14C62839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select from and use a wider range of tools and equipment to perform practical tasks [for example, cutting, shaping, joining and finishing], accurately </w:t>
            </w:r>
          </w:p>
          <w:p w14:paraId="1101CA15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select from and use a wider range of materials and components, including construction materials, textiles and ingredients, according to their functional properties and aesthetic </w:t>
            </w:r>
            <w:proofErr w:type="gramStart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qualities</w:t>
            </w:r>
            <w:proofErr w:type="gramEnd"/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</w:p>
          <w:p w14:paraId="0CB24406" w14:textId="77777777" w:rsidR="00DB5F4C" w:rsidRDefault="00DB5F4C" w:rsidP="007047F0">
            <w:pPr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  <w:t xml:space="preserve">Evaluate </w:t>
            </w:r>
          </w:p>
          <w:p w14:paraId="2DE85D18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 xml:space="preserve">investigate and analyse a range of existing products </w:t>
            </w:r>
          </w:p>
          <w:p w14:paraId="46481D10" w14:textId="77777777" w:rsidR="00DB5F4C" w:rsidRDefault="00DB5F4C" w:rsidP="00DB5F4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</w:pPr>
            <w:r w:rsidRPr="22B647D0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evaluate their ideas and products against their own design criteria and consider the views of others to improve their work</w:t>
            </w:r>
          </w:p>
        </w:tc>
      </w:tr>
      <w:tr w:rsidR="00DB5F4C" w14:paraId="70928A58" w14:textId="77777777" w:rsidTr="00804485">
        <w:trPr>
          <w:trHeight w:val="890"/>
        </w:trPr>
        <w:tc>
          <w:tcPr>
            <w:tcW w:w="10774" w:type="dxa"/>
            <w:gridSpan w:val="3"/>
          </w:tcPr>
          <w:p w14:paraId="414289A7" w14:textId="77777777" w:rsidR="00DB5F4C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By the end of this unit pupils will learn:</w:t>
            </w:r>
          </w:p>
          <w:p w14:paraId="30A79ADE" w14:textId="50199C18" w:rsidR="00DB5F4C" w:rsidRDefault="007E1A97" w:rsidP="007047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EYFS/ </w:t>
            </w:r>
            <w:r w:rsidR="00DB5F4C" w:rsidRPr="22B647D0">
              <w:rPr>
                <w:b/>
                <w:bCs/>
                <w:sz w:val="16"/>
                <w:szCs w:val="16"/>
              </w:rPr>
              <w:t>KS1</w:t>
            </w:r>
            <w:r w:rsidR="00DB5F4C">
              <w:rPr>
                <w:b/>
                <w:bCs/>
                <w:sz w:val="16"/>
                <w:szCs w:val="16"/>
              </w:rPr>
              <w:t xml:space="preserve">- </w:t>
            </w:r>
            <w:r w:rsidR="00DF776B">
              <w:rPr>
                <w:b/>
                <w:bCs/>
                <w:sz w:val="16"/>
                <w:szCs w:val="16"/>
              </w:rPr>
              <w:t>T</w:t>
            </w:r>
            <w:r w:rsidR="0033148C">
              <w:rPr>
                <w:b/>
                <w:bCs/>
                <w:sz w:val="16"/>
                <w:szCs w:val="16"/>
              </w:rPr>
              <w:t>o</w:t>
            </w:r>
            <w:r w:rsidR="00DF776B">
              <w:rPr>
                <w:b/>
                <w:bCs/>
                <w:sz w:val="16"/>
                <w:szCs w:val="16"/>
              </w:rPr>
              <w:t xml:space="preserve"> </w:t>
            </w:r>
            <w:r w:rsidR="00126355">
              <w:rPr>
                <w:b/>
                <w:bCs/>
                <w:sz w:val="16"/>
                <w:szCs w:val="16"/>
              </w:rPr>
              <w:t>select appropriate materials to make freestanding structures</w:t>
            </w:r>
            <w:r w:rsidR="00D61AC6">
              <w:rPr>
                <w:b/>
                <w:bCs/>
                <w:sz w:val="16"/>
                <w:szCs w:val="16"/>
              </w:rPr>
              <w:t xml:space="preserve"> and know how to make them stronger, stiffer and more </w:t>
            </w:r>
            <w:proofErr w:type="gramStart"/>
            <w:r w:rsidR="00D61AC6">
              <w:rPr>
                <w:b/>
                <w:bCs/>
                <w:sz w:val="16"/>
                <w:szCs w:val="16"/>
              </w:rPr>
              <w:t>stable</w:t>
            </w:r>
            <w:proofErr w:type="gramEnd"/>
          </w:p>
          <w:p w14:paraId="28ED1044" w14:textId="083C1E54" w:rsidR="00DB5F4C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LKS2- </w:t>
            </w:r>
            <w:r w:rsidR="00290D5A">
              <w:rPr>
                <w:b/>
                <w:bCs/>
                <w:sz w:val="16"/>
                <w:szCs w:val="16"/>
              </w:rPr>
              <w:t>To produce strong, stiff shell structures for a purpose.</w:t>
            </w:r>
            <w:r w:rsidR="00127FA1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="000B7627">
              <w:rPr>
                <w:b/>
                <w:bCs/>
                <w:sz w:val="16"/>
                <w:szCs w:val="16"/>
              </w:rPr>
              <w:t>using</w:t>
            </w:r>
            <w:proofErr w:type="gramEnd"/>
            <w:r w:rsidR="000B7627">
              <w:rPr>
                <w:b/>
                <w:bCs/>
                <w:sz w:val="16"/>
                <w:szCs w:val="16"/>
              </w:rPr>
              <w:t xml:space="preserve"> CAD)</w:t>
            </w:r>
          </w:p>
          <w:p w14:paraId="2995BD79" w14:textId="1127E621" w:rsidR="00DB5F4C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UKS2- </w:t>
            </w:r>
            <w:r w:rsidR="002330B4">
              <w:rPr>
                <w:b/>
                <w:bCs/>
                <w:sz w:val="16"/>
                <w:szCs w:val="16"/>
              </w:rPr>
              <w:t xml:space="preserve">To be reinforce </w:t>
            </w:r>
            <w:r w:rsidR="001F28CF">
              <w:rPr>
                <w:b/>
                <w:bCs/>
                <w:sz w:val="16"/>
                <w:szCs w:val="16"/>
              </w:rPr>
              <w:t>and strengthen a 3D framework</w:t>
            </w:r>
          </w:p>
        </w:tc>
      </w:tr>
      <w:tr w:rsidR="00DB5F4C" w14:paraId="5DBE89B7" w14:textId="77777777" w:rsidTr="00804485">
        <w:trPr>
          <w:trHeight w:val="300"/>
        </w:trPr>
        <w:tc>
          <w:tcPr>
            <w:tcW w:w="10774" w:type="dxa"/>
            <w:gridSpan w:val="3"/>
          </w:tcPr>
          <w:p w14:paraId="40D2456F" w14:textId="77777777" w:rsidR="00DB5F4C" w:rsidRDefault="00DB5F4C" w:rsidP="007047F0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B647D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Skills progression should focus upon </w:t>
            </w:r>
            <w:r w:rsidRPr="22B647D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Designing, Making, Evaluating and Technical Knowledge</w:t>
            </w:r>
            <w:r w:rsidRPr="22B647D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within our school framework.</w:t>
            </w:r>
          </w:p>
        </w:tc>
      </w:tr>
      <w:tr w:rsidR="00DB5F4C" w:rsidRPr="000D2799" w14:paraId="48CB2456" w14:textId="77777777" w:rsidTr="00804485">
        <w:trPr>
          <w:trHeight w:val="1259"/>
        </w:trPr>
        <w:tc>
          <w:tcPr>
            <w:tcW w:w="10774" w:type="dxa"/>
            <w:gridSpan w:val="3"/>
          </w:tcPr>
          <w:p w14:paraId="71B61BE0" w14:textId="5F48634D" w:rsidR="00DB5F4C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Wider Curriculum Links: </w:t>
            </w:r>
            <w:r w:rsidR="00C86D23">
              <w:rPr>
                <w:b/>
                <w:bCs/>
                <w:sz w:val="16"/>
                <w:szCs w:val="16"/>
              </w:rPr>
              <w:t>Geography</w:t>
            </w:r>
            <w:r w:rsidR="00DB37EE" w:rsidRPr="00DB37EE">
              <w:rPr>
                <w:b/>
                <w:bCs/>
                <w:sz w:val="16"/>
                <w:szCs w:val="16"/>
              </w:rPr>
              <w:t xml:space="preserve">- build on knowledge of different </w:t>
            </w:r>
            <w:r w:rsidR="00DB37EE">
              <w:rPr>
                <w:b/>
                <w:bCs/>
                <w:sz w:val="16"/>
                <w:szCs w:val="16"/>
              </w:rPr>
              <w:t>geographical areas</w:t>
            </w:r>
            <w:r w:rsidR="00DB37EE" w:rsidRPr="00DB37EE">
              <w:rPr>
                <w:b/>
                <w:bCs/>
                <w:sz w:val="16"/>
                <w:szCs w:val="16"/>
              </w:rPr>
              <w:t xml:space="preserve"> studied</w:t>
            </w:r>
            <w:r w:rsidR="002073BE">
              <w:rPr>
                <w:b/>
                <w:bCs/>
                <w:sz w:val="16"/>
                <w:szCs w:val="16"/>
              </w:rPr>
              <w:t>, Science- materials, Maths (nets)</w:t>
            </w:r>
          </w:p>
          <w:p w14:paraId="72585DE1" w14:textId="0E8E791A" w:rsidR="00DB5F4C" w:rsidRPr="001E723B" w:rsidRDefault="00DB5F4C" w:rsidP="00DB5F4C">
            <w:pPr>
              <w:rPr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Suggested Key Designers/ design work:</w:t>
            </w:r>
            <w:r>
              <w:t xml:space="preserve"> </w:t>
            </w:r>
          </w:p>
          <w:p w14:paraId="3D59A2EB" w14:textId="7B0989A9" w:rsidR="00AE57AB" w:rsidRDefault="007E1A97" w:rsidP="00DB3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EYFS/ </w:t>
            </w:r>
            <w:r w:rsidR="00AE57AB">
              <w:rPr>
                <w:sz w:val="16"/>
                <w:szCs w:val="16"/>
              </w:rPr>
              <w:t xml:space="preserve">KS1- Burj </w:t>
            </w:r>
            <w:proofErr w:type="spellStart"/>
            <w:r w:rsidR="00AE57AB">
              <w:rPr>
                <w:sz w:val="16"/>
                <w:szCs w:val="16"/>
              </w:rPr>
              <w:t>K</w:t>
            </w:r>
            <w:r w:rsidR="0005305F">
              <w:rPr>
                <w:sz w:val="16"/>
                <w:szCs w:val="16"/>
              </w:rPr>
              <w:t>halia</w:t>
            </w:r>
            <w:proofErr w:type="spellEnd"/>
            <w:r w:rsidR="0005305F">
              <w:rPr>
                <w:sz w:val="16"/>
                <w:szCs w:val="16"/>
              </w:rPr>
              <w:t xml:space="preserve"> (Dubai), Forth Bridge</w:t>
            </w:r>
            <w:r w:rsidR="009B599F">
              <w:rPr>
                <w:sz w:val="16"/>
                <w:szCs w:val="16"/>
              </w:rPr>
              <w:t xml:space="preserve"> (Scotland)</w:t>
            </w:r>
          </w:p>
          <w:p w14:paraId="2BA74744" w14:textId="5BCA8350" w:rsidR="00A21CFA" w:rsidRDefault="00F90500" w:rsidP="00DB3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LKS2- </w:t>
            </w:r>
            <w:r w:rsidR="00343A12">
              <w:rPr>
                <w:sz w:val="16"/>
                <w:szCs w:val="16"/>
              </w:rPr>
              <w:t>Packaging, St Peter</w:t>
            </w:r>
            <w:r w:rsidR="009B599F">
              <w:rPr>
                <w:sz w:val="16"/>
                <w:szCs w:val="16"/>
              </w:rPr>
              <w:t>’</w:t>
            </w:r>
            <w:r w:rsidR="00343A12">
              <w:rPr>
                <w:sz w:val="16"/>
                <w:szCs w:val="16"/>
              </w:rPr>
              <w:t>s Basilica dome</w:t>
            </w:r>
          </w:p>
          <w:p w14:paraId="1EE4C0F4" w14:textId="6D1A7034" w:rsidR="001E23C0" w:rsidRPr="001E723B" w:rsidRDefault="00127FA1" w:rsidP="00DB3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UK2- </w:t>
            </w:r>
            <w:r w:rsidR="00106A7E">
              <w:rPr>
                <w:sz w:val="16"/>
                <w:szCs w:val="16"/>
              </w:rPr>
              <w:t>Eiffel Tower</w:t>
            </w:r>
          </w:p>
        </w:tc>
      </w:tr>
      <w:tr w:rsidR="00DB5F4C" w:rsidRPr="000D2799" w14:paraId="34447760" w14:textId="77777777" w:rsidTr="00804485">
        <w:trPr>
          <w:trHeight w:val="406"/>
        </w:trPr>
        <w:tc>
          <w:tcPr>
            <w:tcW w:w="10774" w:type="dxa"/>
            <w:gridSpan w:val="3"/>
          </w:tcPr>
          <w:p w14:paraId="343DCCF6" w14:textId="77777777" w:rsidR="00DB5F4C" w:rsidRPr="00DB37EE" w:rsidRDefault="00DB5F4C" w:rsidP="007047F0">
            <w:pPr>
              <w:rPr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>Key Vocabulary</w:t>
            </w:r>
          </w:p>
          <w:p w14:paraId="5126865B" w14:textId="77777777" w:rsidR="00DB5F4C" w:rsidRDefault="00440E7F" w:rsidP="007047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Structure, support, weight, </w:t>
            </w:r>
            <w:r w:rsidR="00247005">
              <w:rPr>
                <w:b/>
                <w:bCs/>
                <w:sz w:val="16"/>
                <w:szCs w:val="16"/>
              </w:rPr>
              <w:t>strong, rigid, stable, base, materials</w:t>
            </w:r>
          </w:p>
          <w:p w14:paraId="636745D6" w14:textId="4E8E1A2A" w:rsidR="003A68C7" w:rsidRDefault="003A68C7" w:rsidP="007047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KS1- Fr</w:t>
            </w:r>
            <w:r w:rsidR="001D5BB0">
              <w:rPr>
                <w:b/>
                <w:bCs/>
                <w:sz w:val="16"/>
                <w:szCs w:val="16"/>
              </w:rPr>
              <w:t>eestanding</w:t>
            </w:r>
            <w:r>
              <w:rPr>
                <w:b/>
                <w:bCs/>
                <w:sz w:val="16"/>
                <w:szCs w:val="16"/>
              </w:rPr>
              <w:t xml:space="preserve"> structures</w:t>
            </w:r>
          </w:p>
          <w:p w14:paraId="09BF1E16" w14:textId="6534EA5F" w:rsidR="003A68C7" w:rsidRDefault="003A68C7" w:rsidP="007047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LKS2- shell structure</w:t>
            </w:r>
            <w:r w:rsidR="00F139B6">
              <w:rPr>
                <w:b/>
                <w:bCs/>
                <w:sz w:val="16"/>
                <w:szCs w:val="16"/>
              </w:rPr>
              <w:t>, net, durable</w:t>
            </w:r>
          </w:p>
          <w:p w14:paraId="41ECCB6A" w14:textId="10C1C4DA" w:rsidR="003A68C7" w:rsidRPr="002067B5" w:rsidRDefault="003A68C7" w:rsidP="007047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UKS2- Frame structures</w:t>
            </w:r>
            <w:r w:rsidR="00EF03E1">
              <w:rPr>
                <w:b/>
                <w:bCs/>
                <w:sz w:val="16"/>
                <w:szCs w:val="16"/>
              </w:rPr>
              <w:t xml:space="preserve">, beam, column, foundation, </w:t>
            </w:r>
            <w:r w:rsidR="003E4B12">
              <w:rPr>
                <w:b/>
                <w:bCs/>
                <w:sz w:val="16"/>
                <w:szCs w:val="16"/>
              </w:rPr>
              <w:t>triangulation, horizontal, vertical, diagonal</w:t>
            </w:r>
          </w:p>
        </w:tc>
      </w:tr>
      <w:tr w:rsidR="00DB5F4C" w:rsidRPr="000D2799" w14:paraId="5E7D2E8C" w14:textId="77777777" w:rsidTr="00804485">
        <w:trPr>
          <w:trHeight w:val="285"/>
        </w:trPr>
        <w:tc>
          <w:tcPr>
            <w:tcW w:w="10774" w:type="dxa"/>
            <w:gridSpan w:val="3"/>
          </w:tcPr>
          <w:p w14:paraId="41A47DDC" w14:textId="398FDD36" w:rsidR="00DB5F4C" w:rsidRPr="001E723B" w:rsidRDefault="00DB5F4C" w:rsidP="007047F0">
            <w:pPr>
              <w:rPr>
                <w:b/>
                <w:bCs/>
                <w:sz w:val="16"/>
                <w:szCs w:val="16"/>
              </w:rPr>
            </w:pPr>
            <w:r w:rsidRPr="22B647D0">
              <w:rPr>
                <w:b/>
                <w:bCs/>
                <w:sz w:val="16"/>
                <w:szCs w:val="16"/>
              </w:rPr>
              <w:t xml:space="preserve">Wow moment- </w:t>
            </w:r>
          </w:p>
        </w:tc>
      </w:tr>
    </w:tbl>
    <w:p w14:paraId="036F9199" w14:textId="77777777" w:rsidR="00DB5F4C" w:rsidRDefault="00DB5F4C" w:rsidP="00DB5F4C"/>
    <w:p w14:paraId="6A313ACD" w14:textId="77777777" w:rsidR="00DB5F4C" w:rsidRPr="00F42AE9" w:rsidRDefault="00DB5F4C" w:rsidP="00DB5F4C">
      <w:pPr>
        <w:rPr>
          <w:sz w:val="16"/>
          <w:szCs w:val="16"/>
        </w:rPr>
      </w:pPr>
    </w:p>
    <w:p w14:paraId="45EF2A07" w14:textId="77777777" w:rsidR="00DB5F4C" w:rsidRDefault="00DB5F4C"/>
    <w:sectPr w:rsidR="00DB5F4C" w:rsidSect="00704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581B" w14:textId="77777777" w:rsidR="008C7310" w:rsidRDefault="008C7310" w:rsidP="001141DF">
      <w:pPr>
        <w:spacing w:after="0" w:line="240" w:lineRule="auto"/>
      </w:pPr>
      <w:r>
        <w:separator/>
      </w:r>
    </w:p>
  </w:endnote>
  <w:endnote w:type="continuationSeparator" w:id="0">
    <w:p w14:paraId="61D28B33" w14:textId="77777777" w:rsidR="008C7310" w:rsidRDefault="008C7310" w:rsidP="001141DF">
      <w:pPr>
        <w:spacing w:after="0" w:line="240" w:lineRule="auto"/>
      </w:pPr>
      <w:r>
        <w:continuationSeparator/>
      </w:r>
    </w:p>
  </w:endnote>
  <w:endnote w:type="continuationNotice" w:id="1">
    <w:p w14:paraId="729E94C1" w14:textId="77777777" w:rsidR="008C7310" w:rsidRDefault="008C7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C25D" w14:textId="77777777" w:rsidR="008C7310" w:rsidRDefault="008C7310" w:rsidP="001141DF">
      <w:pPr>
        <w:spacing w:after="0" w:line="240" w:lineRule="auto"/>
      </w:pPr>
      <w:r>
        <w:separator/>
      </w:r>
    </w:p>
  </w:footnote>
  <w:footnote w:type="continuationSeparator" w:id="0">
    <w:p w14:paraId="11943FF5" w14:textId="77777777" w:rsidR="008C7310" w:rsidRDefault="008C7310" w:rsidP="001141DF">
      <w:pPr>
        <w:spacing w:after="0" w:line="240" w:lineRule="auto"/>
      </w:pPr>
      <w:r>
        <w:continuationSeparator/>
      </w:r>
    </w:p>
  </w:footnote>
  <w:footnote w:type="continuationNotice" w:id="1">
    <w:p w14:paraId="13AB8E5E" w14:textId="77777777" w:rsidR="008C7310" w:rsidRDefault="008C73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E1F"/>
    <w:multiLevelType w:val="hybridMultilevel"/>
    <w:tmpl w:val="1ABE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9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4C"/>
    <w:rsid w:val="00022A6B"/>
    <w:rsid w:val="0005305F"/>
    <w:rsid w:val="000B7627"/>
    <w:rsid w:val="000D3072"/>
    <w:rsid w:val="000D43A2"/>
    <w:rsid w:val="00106A7E"/>
    <w:rsid w:val="001141DF"/>
    <w:rsid w:val="00126355"/>
    <w:rsid w:val="00127FA1"/>
    <w:rsid w:val="00145245"/>
    <w:rsid w:val="00160AE1"/>
    <w:rsid w:val="00162D36"/>
    <w:rsid w:val="001C56C6"/>
    <w:rsid w:val="001D5BB0"/>
    <w:rsid w:val="001E23C0"/>
    <w:rsid w:val="001F28CF"/>
    <w:rsid w:val="002073BE"/>
    <w:rsid w:val="00225197"/>
    <w:rsid w:val="002330B4"/>
    <w:rsid w:val="00243B12"/>
    <w:rsid w:val="00247005"/>
    <w:rsid w:val="00290D5A"/>
    <w:rsid w:val="00325BD5"/>
    <w:rsid w:val="0033148C"/>
    <w:rsid w:val="00343A12"/>
    <w:rsid w:val="003443D3"/>
    <w:rsid w:val="00345A00"/>
    <w:rsid w:val="003720D8"/>
    <w:rsid w:val="003A68C7"/>
    <w:rsid w:val="003C389D"/>
    <w:rsid w:val="003E4B12"/>
    <w:rsid w:val="00440E7F"/>
    <w:rsid w:val="004B1A0F"/>
    <w:rsid w:val="005208D0"/>
    <w:rsid w:val="005B7CF4"/>
    <w:rsid w:val="00660749"/>
    <w:rsid w:val="006B11B5"/>
    <w:rsid w:val="006C660F"/>
    <w:rsid w:val="006C6B47"/>
    <w:rsid w:val="00702EE8"/>
    <w:rsid w:val="007047F0"/>
    <w:rsid w:val="007E1A97"/>
    <w:rsid w:val="007E7D55"/>
    <w:rsid w:val="00804485"/>
    <w:rsid w:val="008704E3"/>
    <w:rsid w:val="008B7208"/>
    <w:rsid w:val="008C7310"/>
    <w:rsid w:val="008D3128"/>
    <w:rsid w:val="0090128A"/>
    <w:rsid w:val="00967301"/>
    <w:rsid w:val="009B575B"/>
    <w:rsid w:val="009B599F"/>
    <w:rsid w:val="009F4798"/>
    <w:rsid w:val="00A21CFA"/>
    <w:rsid w:val="00A30A1F"/>
    <w:rsid w:val="00A32BFC"/>
    <w:rsid w:val="00AD3996"/>
    <w:rsid w:val="00AE57AB"/>
    <w:rsid w:val="00AF644B"/>
    <w:rsid w:val="00B1786A"/>
    <w:rsid w:val="00B242F7"/>
    <w:rsid w:val="00B46BC5"/>
    <w:rsid w:val="00C106C9"/>
    <w:rsid w:val="00C40306"/>
    <w:rsid w:val="00C86D23"/>
    <w:rsid w:val="00CA2A13"/>
    <w:rsid w:val="00CB3568"/>
    <w:rsid w:val="00D16BF4"/>
    <w:rsid w:val="00D61AC6"/>
    <w:rsid w:val="00D854DF"/>
    <w:rsid w:val="00D95688"/>
    <w:rsid w:val="00DB37EE"/>
    <w:rsid w:val="00DB5F4C"/>
    <w:rsid w:val="00DC7FE3"/>
    <w:rsid w:val="00DD42D1"/>
    <w:rsid w:val="00DE1DDB"/>
    <w:rsid w:val="00DE507F"/>
    <w:rsid w:val="00DE6104"/>
    <w:rsid w:val="00DF776B"/>
    <w:rsid w:val="00E160ED"/>
    <w:rsid w:val="00EE0428"/>
    <w:rsid w:val="00EF03E1"/>
    <w:rsid w:val="00EF3A31"/>
    <w:rsid w:val="00F139B6"/>
    <w:rsid w:val="00F7786C"/>
    <w:rsid w:val="00F90500"/>
    <w:rsid w:val="00FB62D4"/>
    <w:rsid w:val="00FC6AF0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80B58"/>
  <w15:chartTrackingRefBased/>
  <w15:docId w15:val="{C4B13357-4095-4A74-81E2-A424B426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F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5F4C"/>
    <w:rPr>
      <w:b/>
      <w:bCs/>
    </w:rPr>
  </w:style>
  <w:style w:type="character" w:styleId="Hyperlink">
    <w:name w:val="Hyperlink"/>
    <w:basedOn w:val="DefaultParagraphFont"/>
    <w:uiPriority w:val="99"/>
    <w:unhideWhenUsed/>
    <w:rsid w:val="00DB5F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5F4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6D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4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DF"/>
  </w:style>
  <w:style w:type="paragraph" w:styleId="Footer">
    <w:name w:val="footer"/>
    <w:basedOn w:val="Normal"/>
    <w:link w:val="FooterChar"/>
    <w:uiPriority w:val="99"/>
    <w:unhideWhenUsed/>
    <w:rsid w:val="00114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6" ma:contentTypeDescription="Create a new document." ma:contentTypeScope="" ma:versionID="5599409854285c55b8da13453a431ec8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89acf1fe514b18eda358f1d3c492a838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BC5C7-2867-4ED1-92B9-8C32FEAC6B80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47f19b77-9183-4fc2-bb77-da09682717ed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aa0b2aa-ae8d-4d1d-a89c-3d0d53edec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71D2CF-B45E-4A35-BDEA-BC61604F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8EC0A-C788-473D-BC39-3F1EDEB9E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Links>
    <vt:vector size="18" baseType="variant"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https://www.vam.ac.uk/articles/willam-morris-textiles</vt:lpwstr>
      </vt:variant>
      <vt:variant>
        <vt:lpwstr/>
      </vt:variant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http://www.bayeuxtapestry.org.uk/</vt:lpwstr>
      </vt:variant>
      <vt:variant>
        <vt:lpwstr/>
      </vt:variant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http://creatureshop.com/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Winfield</dc:creator>
  <cp:keywords/>
  <dc:description/>
  <cp:lastModifiedBy>Sophie Foston</cp:lastModifiedBy>
  <cp:revision>26</cp:revision>
  <dcterms:created xsi:type="dcterms:W3CDTF">2022-11-03T10:05:00Z</dcterms:created>
  <dcterms:modified xsi:type="dcterms:W3CDTF">2023-03-06T10:36:00Z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